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DAFE" w14:textId="06FC603E" w:rsidR="007163C0" w:rsidRDefault="007163C0"/>
    <w:p w14:paraId="403E68DA" w14:textId="4166F14E" w:rsidR="00744E72" w:rsidRDefault="00744E72" w:rsidP="00744E72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CBOE Global Markets </w:t>
      </w:r>
      <w:r>
        <w:rPr>
          <w:rFonts w:ascii="Verdana" w:hAnsi="Verdana"/>
          <w:b/>
          <w:sz w:val="28"/>
          <w:szCs w:val="28"/>
        </w:rPr>
        <w:t xml:space="preserve">–    </w:t>
      </w:r>
      <w:r w:rsidR="003879FC">
        <w:rPr>
          <w:rFonts w:ascii="Verdana" w:hAnsi="Verdana"/>
          <w:b/>
          <w:sz w:val="28"/>
          <w:szCs w:val="28"/>
        </w:rPr>
        <w:t xml:space="preserve">Third </w:t>
      </w:r>
      <w:r>
        <w:rPr>
          <w:rFonts w:ascii="Verdana" w:hAnsi="Verdana"/>
          <w:b/>
          <w:sz w:val="28"/>
          <w:szCs w:val="28"/>
        </w:rPr>
        <w:t>Quarter Report (</w:t>
      </w:r>
      <w:r w:rsidR="003879FC">
        <w:rPr>
          <w:rFonts w:ascii="Verdana" w:hAnsi="Verdana"/>
          <w:b/>
          <w:sz w:val="28"/>
          <w:szCs w:val="28"/>
        </w:rPr>
        <w:t>November</w:t>
      </w:r>
      <w:r>
        <w:rPr>
          <w:rFonts w:ascii="Verdana" w:hAnsi="Verdana"/>
          <w:b/>
          <w:sz w:val="28"/>
          <w:szCs w:val="28"/>
        </w:rPr>
        <w:t xml:space="preserve"> </w:t>
      </w:r>
      <w:r w:rsidR="003879FC">
        <w:rPr>
          <w:rFonts w:ascii="Verdana" w:hAnsi="Verdana"/>
          <w:b/>
          <w:sz w:val="28"/>
          <w:szCs w:val="28"/>
        </w:rPr>
        <w:t>04</w:t>
      </w:r>
      <w:r>
        <w:rPr>
          <w:rFonts w:ascii="Verdana" w:hAnsi="Verdana"/>
          <w:b/>
          <w:sz w:val="28"/>
          <w:szCs w:val="28"/>
        </w:rPr>
        <w:t>, 2022)</w:t>
      </w:r>
    </w:p>
    <w:p w14:paraId="354939B4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5537854E" w14:textId="7B5B2BD2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Percentage change in Sales from year ago quarter</w:t>
      </w:r>
      <w:r>
        <w:rPr>
          <w:rFonts w:ascii="Verdana" w:hAnsi="Verdana" w:cs="Calibri"/>
          <w:sz w:val="28"/>
          <w:szCs w:val="28"/>
        </w:rPr>
        <w:t xml:space="preserve"> 2</w:t>
      </w:r>
      <w:r w:rsidR="005108AF">
        <w:rPr>
          <w:rFonts w:ascii="Verdana" w:hAnsi="Verdana" w:cs="Calibri"/>
          <w:sz w:val="28"/>
          <w:szCs w:val="28"/>
        </w:rPr>
        <w:t>1.6</w:t>
      </w:r>
      <w:r>
        <w:rPr>
          <w:rFonts w:ascii="Verdana" w:hAnsi="Verdana" w:cs="Calibri"/>
          <w:sz w:val="28"/>
          <w:szCs w:val="28"/>
        </w:rPr>
        <w:t>%.</w:t>
      </w:r>
    </w:p>
    <w:p w14:paraId="4E01F626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3C4CF076" w14:textId="004ED576" w:rsidR="00744E72" w:rsidRDefault="00744E72" w:rsidP="00744E72">
      <w:pPr>
        <w:spacing w:after="0" w:line="240" w:lineRule="auto"/>
        <w:rPr>
          <w:rFonts w:ascii="Verdana" w:hAnsi="Verdana" w:cs="Calibri"/>
          <w:sz w:val="32"/>
          <w:szCs w:val="32"/>
        </w:rPr>
      </w:pPr>
      <w:r>
        <w:rPr>
          <w:rFonts w:ascii="Verdana" w:hAnsi="Verdana" w:cs="Calibri"/>
          <w:b/>
          <w:sz w:val="28"/>
          <w:szCs w:val="28"/>
        </w:rPr>
        <w:t>Percentage change in Adjusted Earnings per Share was up 2</w:t>
      </w:r>
      <w:r w:rsidR="00977ECB">
        <w:rPr>
          <w:rFonts w:ascii="Verdana" w:hAnsi="Verdana" w:cs="Calibri"/>
          <w:b/>
          <w:sz w:val="28"/>
          <w:szCs w:val="28"/>
        </w:rPr>
        <w:t>6</w:t>
      </w:r>
      <w:r>
        <w:rPr>
          <w:rFonts w:ascii="Verdana" w:hAnsi="Verdana" w:cs="Calibri"/>
          <w:sz w:val="28"/>
          <w:szCs w:val="28"/>
        </w:rPr>
        <w:t>%. Diluted EPS was (1.4</w:t>
      </w:r>
      <w:r w:rsidR="005108AF">
        <w:rPr>
          <w:rFonts w:ascii="Verdana" w:hAnsi="Verdana" w:cs="Calibri"/>
          <w:sz w:val="28"/>
          <w:szCs w:val="28"/>
        </w:rPr>
        <w:t>1</w:t>
      </w:r>
      <w:r>
        <w:rPr>
          <w:rFonts w:ascii="Verdana" w:hAnsi="Verdana" w:cs="Calibri"/>
          <w:sz w:val="28"/>
          <w:szCs w:val="28"/>
        </w:rPr>
        <w:t>) compared to</w:t>
      </w:r>
      <w:r w:rsidR="005108AF">
        <w:rPr>
          <w:rFonts w:ascii="Verdana" w:hAnsi="Verdana" w:cs="Calibri"/>
          <w:sz w:val="28"/>
          <w:szCs w:val="28"/>
        </w:rPr>
        <w:t xml:space="preserve"> 1.12</w:t>
      </w:r>
      <w:r>
        <w:rPr>
          <w:rFonts w:ascii="Verdana" w:hAnsi="Verdana" w:cs="Calibri"/>
          <w:sz w:val="28"/>
          <w:szCs w:val="28"/>
        </w:rPr>
        <w:t xml:space="preserve"> cents from year ago quarter</w:t>
      </w:r>
      <w:r w:rsidR="005108AF">
        <w:rPr>
          <w:rFonts w:ascii="Verdana" w:hAnsi="Verdana" w:cs="Calibri"/>
          <w:sz w:val="28"/>
          <w:szCs w:val="28"/>
        </w:rPr>
        <w:t>.</w:t>
      </w:r>
    </w:p>
    <w:p w14:paraId="6EB1C4D8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34D9747A" w14:textId="40A02239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Is company meeting our target sales &amp; earnings estimates?</w:t>
      </w:r>
      <w:r>
        <w:rPr>
          <w:rFonts w:ascii="Verdana" w:hAnsi="Verdana" w:cs="Calibri"/>
          <w:sz w:val="28"/>
          <w:szCs w:val="28"/>
        </w:rPr>
        <w:t xml:space="preserve"> Sales yes. Earnings – Yes </w:t>
      </w:r>
    </w:p>
    <w:p w14:paraId="15563647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276CFFFC" w14:textId="319278E0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Pre-tax Profit on sales trend? UP</w:t>
      </w:r>
      <w:r w:rsidR="00977ECB">
        <w:rPr>
          <w:rFonts w:ascii="Verdana" w:hAnsi="Verdana" w:cs="Calibri"/>
          <w:b/>
          <w:sz w:val="28"/>
          <w:szCs w:val="28"/>
        </w:rPr>
        <w:t xml:space="preserve"> 21.6%</w:t>
      </w:r>
    </w:p>
    <w:p w14:paraId="1BA5373F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2C45376A" w14:textId="3A184B3C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Return on equity trends?</w:t>
      </w:r>
      <w:r>
        <w:rPr>
          <w:rFonts w:ascii="Verdana" w:hAnsi="Verdana" w:cs="Calibri"/>
          <w:sz w:val="28"/>
          <w:szCs w:val="28"/>
        </w:rPr>
        <w:t xml:space="preserve"> UP</w:t>
      </w:r>
      <w:r w:rsidR="00977ECB">
        <w:rPr>
          <w:rFonts w:ascii="Verdana" w:hAnsi="Verdana" w:cs="Calibri"/>
          <w:sz w:val="28"/>
          <w:szCs w:val="28"/>
        </w:rPr>
        <w:t xml:space="preserve">   13.5%</w:t>
      </w:r>
    </w:p>
    <w:p w14:paraId="766BBAF1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1DEF9CCC" w14:textId="14178273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Debt</w:t>
      </w:r>
      <w:proofErr w:type="gramStart"/>
      <w:r>
        <w:rPr>
          <w:rFonts w:ascii="Verdana" w:hAnsi="Verdana" w:cs="Calibri"/>
          <w:b/>
          <w:sz w:val="28"/>
          <w:szCs w:val="28"/>
        </w:rPr>
        <w:t>?</w:t>
      </w:r>
      <w:r>
        <w:rPr>
          <w:rFonts w:ascii="Verdana" w:hAnsi="Verdana" w:cs="Calibri"/>
          <w:sz w:val="28"/>
          <w:szCs w:val="28"/>
        </w:rPr>
        <w:t xml:space="preserve">  </w:t>
      </w:r>
      <w:proofErr w:type="gramEnd"/>
      <w:r>
        <w:rPr>
          <w:rFonts w:ascii="Verdana" w:hAnsi="Verdana" w:cs="Calibri"/>
          <w:sz w:val="28"/>
          <w:szCs w:val="28"/>
        </w:rPr>
        <w:t>UP due to acquisitions and good will in May and June.</w:t>
      </w:r>
      <w:r w:rsidR="00977ECB">
        <w:rPr>
          <w:rFonts w:ascii="Verdana" w:hAnsi="Verdana" w:cs="Calibri"/>
          <w:sz w:val="28"/>
          <w:szCs w:val="28"/>
        </w:rPr>
        <w:t>26.8%</w:t>
      </w:r>
    </w:p>
    <w:p w14:paraId="0C5F11A8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363521D0" w14:textId="5B94C8B3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Current PE</w:t>
      </w:r>
      <w:r>
        <w:rPr>
          <w:rFonts w:ascii="Verdana" w:hAnsi="Verdana" w:cs="Calibri"/>
          <w:sz w:val="28"/>
          <w:szCs w:val="28"/>
        </w:rPr>
        <w:t>:</w:t>
      </w:r>
      <w:r w:rsidR="00977ECB">
        <w:rPr>
          <w:rFonts w:ascii="Verdana" w:hAnsi="Verdana" w:cs="Calibri"/>
          <w:sz w:val="28"/>
          <w:szCs w:val="28"/>
        </w:rPr>
        <w:t>55.3</w:t>
      </w:r>
      <w:proofErr w:type="gramStart"/>
      <w:r>
        <w:rPr>
          <w:rFonts w:ascii="Verdana" w:hAnsi="Verdana" w:cs="Calibri"/>
          <w:sz w:val="28"/>
          <w:szCs w:val="28"/>
        </w:rPr>
        <w:t xml:space="preserve">.  </w:t>
      </w:r>
      <w:proofErr w:type="gramEnd"/>
      <w:r>
        <w:rPr>
          <w:rFonts w:ascii="Verdana" w:hAnsi="Verdana" w:cs="Calibri"/>
          <w:b/>
          <w:sz w:val="28"/>
          <w:szCs w:val="28"/>
        </w:rPr>
        <w:t xml:space="preserve"> Position in my estimated High/Low PE's</w:t>
      </w:r>
      <w:r>
        <w:rPr>
          <w:rFonts w:ascii="Verdana" w:hAnsi="Verdana" w:cs="Calibri"/>
          <w:sz w:val="28"/>
          <w:szCs w:val="28"/>
        </w:rPr>
        <w:t xml:space="preserve">? Lower half        </w:t>
      </w:r>
      <w:r>
        <w:rPr>
          <w:rFonts w:ascii="Verdana" w:hAnsi="Verdana" w:cs="Calibri"/>
          <w:b/>
          <w:sz w:val="28"/>
          <w:szCs w:val="28"/>
        </w:rPr>
        <w:t>Signature PE</w:t>
      </w:r>
      <w:r>
        <w:rPr>
          <w:rFonts w:ascii="Verdana" w:hAnsi="Verdana" w:cs="Calibri"/>
          <w:sz w:val="28"/>
          <w:szCs w:val="28"/>
        </w:rPr>
        <w:t xml:space="preserve"> 27.</w:t>
      </w:r>
      <w:r w:rsidR="00977ECB">
        <w:rPr>
          <w:rFonts w:ascii="Verdana" w:hAnsi="Verdana" w:cs="Calibri"/>
          <w:sz w:val="28"/>
          <w:szCs w:val="28"/>
        </w:rPr>
        <w:t>2</w:t>
      </w:r>
      <w:r w:rsidR="005108AF">
        <w:rPr>
          <w:rFonts w:ascii="Verdana" w:hAnsi="Verdana" w:cs="Calibri"/>
          <w:sz w:val="28"/>
          <w:szCs w:val="28"/>
        </w:rPr>
        <w:t>.</w:t>
      </w:r>
    </w:p>
    <w:p w14:paraId="2F5F02DA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0FB2F618" w14:textId="450D801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Club cost basis for this stock is</w:t>
      </w:r>
      <w:r>
        <w:rPr>
          <w:rFonts w:ascii="Verdana" w:hAnsi="Verdana" w:cs="Calibri"/>
          <w:sz w:val="28"/>
          <w:szCs w:val="28"/>
        </w:rPr>
        <w:t xml:space="preserve"> $</w:t>
      </w:r>
      <w:r w:rsidR="005108AF">
        <w:rPr>
          <w:rFonts w:ascii="Verdana" w:hAnsi="Verdana" w:cs="Calibri"/>
          <w:sz w:val="28"/>
          <w:szCs w:val="28"/>
        </w:rPr>
        <w:t>90.05</w:t>
      </w:r>
      <w:r>
        <w:rPr>
          <w:rFonts w:ascii="Verdana" w:hAnsi="Verdana" w:cs="Calibri"/>
          <w:sz w:val="28"/>
          <w:szCs w:val="28"/>
        </w:rPr>
        <w:t xml:space="preserve"> </w:t>
      </w:r>
      <w:r w:rsidR="005108AF">
        <w:rPr>
          <w:rFonts w:ascii="Verdana" w:hAnsi="Verdana" w:cs="Calibri"/>
          <w:sz w:val="28"/>
          <w:szCs w:val="28"/>
        </w:rPr>
        <w:t>ownership is 7.</w:t>
      </w:r>
      <w:r w:rsidR="00977ECB">
        <w:rPr>
          <w:rFonts w:ascii="Verdana" w:hAnsi="Verdana" w:cs="Calibri"/>
          <w:sz w:val="28"/>
          <w:szCs w:val="28"/>
        </w:rPr>
        <w:t>7</w:t>
      </w:r>
      <w:r w:rsidR="005108AF">
        <w:rPr>
          <w:rFonts w:ascii="Verdana" w:hAnsi="Verdana" w:cs="Calibri"/>
          <w:sz w:val="28"/>
          <w:szCs w:val="28"/>
        </w:rPr>
        <w:t>% of portfolio</w:t>
      </w:r>
      <w:proofErr w:type="gramStart"/>
      <w:r w:rsidR="005108AF">
        <w:rPr>
          <w:rFonts w:ascii="Verdana" w:hAnsi="Verdana" w:cs="Calibri"/>
          <w:sz w:val="28"/>
          <w:szCs w:val="28"/>
        </w:rPr>
        <w:t>.</w:t>
      </w:r>
      <w:r>
        <w:rPr>
          <w:rFonts w:ascii="Verdana" w:hAnsi="Verdana" w:cs="Calibri"/>
          <w:sz w:val="28"/>
          <w:szCs w:val="28"/>
        </w:rPr>
        <w:t xml:space="preserve">  </w:t>
      </w:r>
      <w:proofErr w:type="gramEnd"/>
      <w:r>
        <w:rPr>
          <w:rFonts w:ascii="Verdana" w:hAnsi="Verdana" w:cs="Calibri"/>
          <w:sz w:val="28"/>
          <w:szCs w:val="28"/>
        </w:rPr>
        <w:t xml:space="preserve">   </w:t>
      </w:r>
      <w:r>
        <w:rPr>
          <w:rFonts w:ascii="Verdana" w:hAnsi="Verdana" w:cs="Calibri"/>
          <w:b/>
          <w:sz w:val="28"/>
          <w:szCs w:val="28"/>
        </w:rPr>
        <w:t>Current price is</w:t>
      </w:r>
      <w:r>
        <w:rPr>
          <w:rFonts w:ascii="Verdana" w:hAnsi="Verdana" w:cs="Calibri"/>
          <w:sz w:val="28"/>
          <w:szCs w:val="28"/>
        </w:rPr>
        <w:t xml:space="preserve"> </w:t>
      </w:r>
      <w:r w:rsidR="005108AF">
        <w:rPr>
          <w:rFonts w:ascii="Verdana" w:hAnsi="Verdana" w:cs="Calibri"/>
          <w:sz w:val="28"/>
          <w:szCs w:val="28"/>
        </w:rPr>
        <w:t>11</w:t>
      </w:r>
      <w:r>
        <w:rPr>
          <w:rFonts w:ascii="Verdana" w:hAnsi="Verdana" w:cs="Calibri"/>
          <w:sz w:val="28"/>
          <w:szCs w:val="28"/>
        </w:rPr>
        <w:t>/</w:t>
      </w:r>
      <w:r w:rsidR="00977ECB">
        <w:rPr>
          <w:rFonts w:ascii="Verdana" w:hAnsi="Verdana" w:cs="Calibri"/>
          <w:sz w:val="28"/>
          <w:szCs w:val="28"/>
        </w:rPr>
        <w:t>29</w:t>
      </w:r>
      <w:r>
        <w:rPr>
          <w:rFonts w:ascii="Verdana" w:hAnsi="Verdana" w:cs="Calibri"/>
          <w:sz w:val="28"/>
          <w:szCs w:val="28"/>
        </w:rPr>
        <w:t>/22) - $12</w:t>
      </w:r>
      <w:r w:rsidR="00977ECB">
        <w:rPr>
          <w:rFonts w:ascii="Verdana" w:hAnsi="Verdana" w:cs="Calibri"/>
          <w:sz w:val="28"/>
          <w:szCs w:val="28"/>
        </w:rPr>
        <w:t>3</w:t>
      </w:r>
      <w:r w:rsidR="005108AF">
        <w:rPr>
          <w:rFonts w:ascii="Verdana" w:hAnsi="Verdana" w:cs="Calibri"/>
          <w:sz w:val="28"/>
          <w:szCs w:val="28"/>
        </w:rPr>
        <w:t>.</w:t>
      </w:r>
      <w:r w:rsidR="00977ECB">
        <w:rPr>
          <w:rFonts w:ascii="Verdana" w:hAnsi="Verdana" w:cs="Calibri"/>
          <w:sz w:val="28"/>
          <w:szCs w:val="28"/>
        </w:rPr>
        <w:t>25</w:t>
      </w:r>
      <w:r>
        <w:rPr>
          <w:rFonts w:ascii="Verdana" w:hAnsi="Verdana" w:cs="Calibri"/>
          <w:sz w:val="28"/>
          <w:szCs w:val="28"/>
        </w:rPr>
        <w:t>.</w:t>
      </w:r>
    </w:p>
    <w:p w14:paraId="3577FA3C" w14:textId="77777777" w:rsidR="005108AF" w:rsidRDefault="005108AF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5F97A0E7" w14:textId="745E2281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Current Fair Value:</w:t>
      </w:r>
      <w:r>
        <w:rPr>
          <w:rFonts w:ascii="Verdana" w:hAnsi="Verdana" w:cs="Calibri"/>
          <w:sz w:val="28"/>
          <w:szCs w:val="28"/>
        </w:rPr>
        <w:t xml:space="preserve">  </w:t>
      </w:r>
      <w:r>
        <w:rPr>
          <w:rFonts w:ascii="Verdana" w:hAnsi="Verdana" w:cs="Calibri"/>
          <w:b/>
          <w:sz w:val="28"/>
          <w:szCs w:val="28"/>
        </w:rPr>
        <w:t>Morningstar:</w:t>
      </w:r>
      <w:r>
        <w:rPr>
          <w:rFonts w:ascii="Verdana" w:hAnsi="Verdana" w:cs="Calibri"/>
          <w:sz w:val="28"/>
          <w:szCs w:val="28"/>
        </w:rPr>
        <w:t xml:space="preserve"> 1</w:t>
      </w:r>
      <w:r w:rsidR="005108AF">
        <w:rPr>
          <w:rFonts w:ascii="Verdana" w:hAnsi="Verdana" w:cs="Calibri"/>
          <w:sz w:val="28"/>
          <w:szCs w:val="28"/>
        </w:rPr>
        <w:t>2</w:t>
      </w:r>
      <w:r w:rsidR="00977ECB">
        <w:rPr>
          <w:rFonts w:ascii="Verdana" w:hAnsi="Verdana" w:cs="Calibri"/>
          <w:sz w:val="28"/>
          <w:szCs w:val="28"/>
        </w:rPr>
        <w:t>4</w:t>
      </w:r>
      <w:r w:rsidR="005108AF">
        <w:rPr>
          <w:rFonts w:ascii="Verdana" w:hAnsi="Verdana" w:cs="Calibri"/>
          <w:sz w:val="28"/>
          <w:szCs w:val="28"/>
        </w:rPr>
        <w:t>.</w:t>
      </w:r>
      <w:r w:rsidR="00977ECB">
        <w:rPr>
          <w:rFonts w:ascii="Verdana" w:hAnsi="Verdana" w:cs="Calibri"/>
          <w:sz w:val="28"/>
          <w:szCs w:val="28"/>
        </w:rPr>
        <w:t>90</w:t>
      </w:r>
      <w:r w:rsidR="005108AF">
        <w:rPr>
          <w:rFonts w:ascii="Verdana" w:hAnsi="Verdana" w:cs="Calibri"/>
          <w:sz w:val="28"/>
          <w:szCs w:val="28"/>
        </w:rPr>
        <w:t>.</w:t>
      </w:r>
      <w:r>
        <w:rPr>
          <w:rFonts w:ascii="Verdana" w:hAnsi="Verdana" w:cs="Calibri"/>
          <w:sz w:val="28"/>
          <w:szCs w:val="28"/>
        </w:rPr>
        <w:t xml:space="preserve">       </w:t>
      </w:r>
      <w:r>
        <w:rPr>
          <w:rFonts w:ascii="Verdana" w:hAnsi="Verdana" w:cs="Calibri"/>
          <w:b/>
          <w:sz w:val="28"/>
          <w:szCs w:val="28"/>
        </w:rPr>
        <w:t xml:space="preserve">CFRA: </w:t>
      </w:r>
      <w:r>
        <w:rPr>
          <w:rFonts w:ascii="Verdana" w:hAnsi="Verdana" w:cs="Calibri"/>
          <w:sz w:val="28"/>
          <w:szCs w:val="28"/>
        </w:rPr>
        <w:t>(4 Stars Buy)</w:t>
      </w:r>
      <w:r>
        <w:rPr>
          <w:rFonts w:ascii="Verdana" w:hAnsi="Verdana" w:cs="Calibri"/>
          <w:b/>
          <w:sz w:val="28"/>
          <w:szCs w:val="28"/>
        </w:rPr>
        <w:t xml:space="preserve"> </w:t>
      </w:r>
      <w:r>
        <w:rPr>
          <w:rFonts w:ascii="Verdana" w:hAnsi="Verdana" w:cs="Calibri"/>
          <w:sz w:val="28"/>
          <w:szCs w:val="28"/>
        </w:rPr>
        <w:t>12 mos. Target Price: $1</w:t>
      </w:r>
      <w:r w:rsidR="00FC3688">
        <w:rPr>
          <w:rFonts w:ascii="Verdana" w:hAnsi="Verdana" w:cs="Calibri"/>
          <w:sz w:val="28"/>
          <w:szCs w:val="28"/>
        </w:rPr>
        <w:t>55</w:t>
      </w:r>
      <w:r>
        <w:rPr>
          <w:rFonts w:ascii="Verdana" w:hAnsi="Verdana" w:cs="Calibri"/>
          <w:sz w:val="28"/>
          <w:szCs w:val="28"/>
        </w:rPr>
        <w:t xml:space="preserve">  </w:t>
      </w:r>
    </w:p>
    <w:p w14:paraId="5704A1DF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67C2CDB0" w14:textId="3B4C6AEA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Value Line:</w:t>
      </w:r>
      <w:r>
        <w:rPr>
          <w:rFonts w:ascii="Verdana" w:hAnsi="Verdana" w:cs="Calibri"/>
          <w:sz w:val="28"/>
          <w:szCs w:val="28"/>
        </w:rPr>
        <w:t xml:space="preserve"> </w:t>
      </w:r>
      <w:r>
        <w:rPr>
          <w:rFonts w:ascii="Verdana" w:hAnsi="Verdana" w:cs="Calibri"/>
          <w:b/>
          <w:sz w:val="28"/>
          <w:szCs w:val="28"/>
        </w:rPr>
        <w:t>18 mos.</w:t>
      </w:r>
      <w:r>
        <w:rPr>
          <w:rFonts w:ascii="Verdana" w:hAnsi="Verdana" w:cs="Calibri"/>
          <w:sz w:val="28"/>
          <w:szCs w:val="28"/>
        </w:rPr>
        <w:t xml:space="preserve"> $</w:t>
      </w:r>
      <w:r w:rsidR="00FC3688">
        <w:rPr>
          <w:rFonts w:ascii="Verdana" w:hAnsi="Verdana" w:cs="Calibri"/>
          <w:sz w:val="28"/>
          <w:szCs w:val="28"/>
        </w:rPr>
        <w:t>105</w:t>
      </w:r>
      <w:r>
        <w:rPr>
          <w:rFonts w:ascii="Verdana" w:hAnsi="Verdana" w:cs="Calibri"/>
          <w:sz w:val="28"/>
          <w:szCs w:val="28"/>
        </w:rPr>
        <w:t xml:space="preserve"> (Low); $1</w:t>
      </w:r>
      <w:r w:rsidR="005108AF">
        <w:rPr>
          <w:rFonts w:ascii="Verdana" w:hAnsi="Verdana" w:cs="Calibri"/>
          <w:sz w:val="28"/>
          <w:szCs w:val="28"/>
        </w:rPr>
        <w:t>3</w:t>
      </w:r>
      <w:r w:rsidR="00FC3688">
        <w:rPr>
          <w:rFonts w:ascii="Verdana" w:hAnsi="Verdana" w:cs="Calibri"/>
          <w:sz w:val="28"/>
          <w:szCs w:val="28"/>
        </w:rPr>
        <w:t>5</w:t>
      </w:r>
      <w:r>
        <w:rPr>
          <w:rFonts w:ascii="Verdana" w:hAnsi="Verdana" w:cs="Calibri"/>
          <w:sz w:val="28"/>
          <w:szCs w:val="28"/>
        </w:rPr>
        <w:t xml:space="preserve"> (Middle); $17</w:t>
      </w:r>
      <w:r w:rsidR="005108AF">
        <w:rPr>
          <w:rFonts w:ascii="Verdana" w:hAnsi="Verdana" w:cs="Calibri"/>
          <w:sz w:val="28"/>
          <w:szCs w:val="28"/>
        </w:rPr>
        <w:t>0</w:t>
      </w:r>
      <w:r>
        <w:rPr>
          <w:rFonts w:ascii="Verdana" w:hAnsi="Verdana" w:cs="Calibri"/>
          <w:sz w:val="28"/>
          <w:szCs w:val="28"/>
        </w:rPr>
        <w:t xml:space="preserve"> (High)</w:t>
      </w:r>
    </w:p>
    <w:p w14:paraId="3759C56F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09F80DC4" w14:textId="5DB3E8B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My SSG Low price</w:t>
      </w:r>
      <w:r>
        <w:rPr>
          <w:rFonts w:ascii="Verdana" w:hAnsi="Verdana" w:cs="Calibri"/>
          <w:sz w:val="28"/>
          <w:szCs w:val="28"/>
        </w:rPr>
        <w:t>:  $8</w:t>
      </w:r>
      <w:r w:rsidR="00FC3688">
        <w:rPr>
          <w:rFonts w:ascii="Verdana" w:hAnsi="Verdana" w:cs="Calibri"/>
          <w:sz w:val="28"/>
          <w:szCs w:val="28"/>
        </w:rPr>
        <w:t>5.6</w:t>
      </w:r>
      <w:r>
        <w:rPr>
          <w:rFonts w:ascii="Verdana" w:hAnsi="Verdana" w:cs="Calibri"/>
          <w:sz w:val="28"/>
          <w:szCs w:val="28"/>
        </w:rPr>
        <w:tab/>
      </w:r>
      <w:r>
        <w:rPr>
          <w:rFonts w:ascii="Verdana" w:hAnsi="Verdana" w:cs="Calibri"/>
          <w:b/>
          <w:sz w:val="28"/>
          <w:szCs w:val="28"/>
        </w:rPr>
        <w:t>My SSG High price:</w:t>
      </w:r>
      <w:r>
        <w:rPr>
          <w:rFonts w:ascii="Verdana" w:hAnsi="Verdana" w:cs="Calibri"/>
          <w:sz w:val="28"/>
          <w:szCs w:val="28"/>
        </w:rPr>
        <w:t xml:space="preserve"> $</w:t>
      </w:r>
      <w:r w:rsidR="00810722">
        <w:rPr>
          <w:rFonts w:ascii="Verdana" w:hAnsi="Verdana" w:cs="Calibri"/>
          <w:sz w:val="28"/>
          <w:szCs w:val="28"/>
        </w:rPr>
        <w:t>206.1</w:t>
      </w:r>
      <w:proofErr w:type="gramStart"/>
      <w:r>
        <w:rPr>
          <w:rFonts w:ascii="Verdana" w:hAnsi="Verdana" w:cs="Calibri"/>
          <w:sz w:val="28"/>
          <w:szCs w:val="28"/>
        </w:rPr>
        <w:t xml:space="preserve">.  </w:t>
      </w:r>
      <w:proofErr w:type="gramEnd"/>
      <w:r>
        <w:rPr>
          <w:rFonts w:ascii="Verdana" w:hAnsi="Verdana" w:cs="Calibri"/>
          <w:sz w:val="28"/>
          <w:szCs w:val="28"/>
        </w:rPr>
        <w:t xml:space="preserve"> Currently in hold ZONE: (103.8 – 150.7) </w:t>
      </w:r>
    </w:p>
    <w:p w14:paraId="0C34D4E6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61D833F9" w14:textId="29551FA5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Annual Appreciation and Rate of Return</w:t>
      </w:r>
      <w:r>
        <w:rPr>
          <w:rFonts w:ascii="Verdana" w:hAnsi="Verdana" w:cs="Calibri"/>
          <w:sz w:val="28"/>
          <w:szCs w:val="28"/>
        </w:rPr>
        <w:t xml:space="preserve"> using high p/e forecast is between </w:t>
      </w:r>
      <w:r w:rsidR="00810722">
        <w:rPr>
          <w:rFonts w:ascii="Verdana" w:hAnsi="Verdana" w:cs="Calibri"/>
          <w:sz w:val="28"/>
          <w:szCs w:val="28"/>
        </w:rPr>
        <w:t>10.8</w:t>
      </w:r>
      <w:r>
        <w:rPr>
          <w:rFonts w:ascii="Verdana" w:hAnsi="Verdana" w:cs="Calibri"/>
          <w:sz w:val="28"/>
          <w:szCs w:val="28"/>
        </w:rPr>
        <w:t xml:space="preserve">% – </w:t>
      </w:r>
      <w:r w:rsidR="00810722">
        <w:rPr>
          <w:rFonts w:ascii="Verdana" w:hAnsi="Verdana" w:cs="Calibri"/>
          <w:sz w:val="28"/>
          <w:szCs w:val="28"/>
        </w:rPr>
        <w:t>11.9</w:t>
      </w:r>
      <w:r>
        <w:rPr>
          <w:rFonts w:ascii="Verdana" w:hAnsi="Verdana" w:cs="Calibri"/>
          <w:sz w:val="28"/>
          <w:szCs w:val="28"/>
        </w:rPr>
        <w:t>% and average p/e is 1.8 and 3.5%.</w:t>
      </w:r>
    </w:p>
    <w:p w14:paraId="3E4ECF0B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7069AEF0" w14:textId="75C66612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bCs/>
          <w:sz w:val="28"/>
          <w:szCs w:val="28"/>
        </w:rPr>
        <w:t>Upside/Downside ratio:</w:t>
      </w:r>
      <w:r>
        <w:rPr>
          <w:rFonts w:ascii="Verdana" w:hAnsi="Verdana" w:cs="Calibri"/>
          <w:sz w:val="28"/>
          <w:szCs w:val="28"/>
        </w:rPr>
        <w:t xml:space="preserve"> </w:t>
      </w:r>
      <w:r w:rsidR="00810722">
        <w:rPr>
          <w:rFonts w:ascii="Verdana" w:hAnsi="Verdana" w:cs="Calibri"/>
          <w:sz w:val="28"/>
          <w:szCs w:val="28"/>
        </w:rPr>
        <w:t>2</w:t>
      </w:r>
      <w:r>
        <w:rPr>
          <w:rFonts w:ascii="Verdana" w:hAnsi="Verdana" w:cs="Calibri"/>
          <w:sz w:val="28"/>
          <w:szCs w:val="28"/>
        </w:rPr>
        <w:t>.2 to 1.</w:t>
      </w:r>
    </w:p>
    <w:p w14:paraId="21691424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573672BB" w14:textId="64793B40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Potential market price appreciation over the next five years </w:t>
      </w:r>
      <w:r>
        <w:rPr>
          <w:rFonts w:ascii="Verdana" w:hAnsi="Verdana" w:cs="Calibri"/>
          <w:bCs/>
          <w:sz w:val="28"/>
          <w:szCs w:val="28"/>
        </w:rPr>
        <w:t xml:space="preserve">is merely </w:t>
      </w:r>
      <w:r w:rsidR="00810722">
        <w:rPr>
          <w:rFonts w:ascii="Verdana" w:hAnsi="Verdana" w:cs="Calibri"/>
          <w:bCs/>
          <w:sz w:val="28"/>
          <w:szCs w:val="28"/>
        </w:rPr>
        <w:t>67.1</w:t>
      </w:r>
      <w:r>
        <w:rPr>
          <w:rFonts w:ascii="Verdana" w:hAnsi="Verdana" w:cs="Calibri"/>
          <w:bCs/>
          <w:sz w:val="28"/>
          <w:szCs w:val="28"/>
        </w:rPr>
        <w:t xml:space="preserve">%. </w:t>
      </w:r>
    </w:p>
    <w:p w14:paraId="5EDC5EFA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47347E01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Average Forecasted Yield:</w:t>
      </w:r>
      <w:r>
        <w:rPr>
          <w:rFonts w:ascii="Verdana" w:hAnsi="Verdana" w:cs="Calibri"/>
          <w:sz w:val="28"/>
          <w:szCs w:val="28"/>
        </w:rPr>
        <w:t xml:space="preserve"> 1.3% </w:t>
      </w:r>
    </w:p>
    <w:p w14:paraId="43D2B664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05AC05DB" w14:textId="77777777" w:rsidR="00744E72" w:rsidRDefault="00744E72" w:rsidP="00744E72">
      <w:pPr>
        <w:spacing w:after="0" w:line="240" w:lineRule="auto"/>
        <w:rPr>
          <w:rFonts w:ascii="Verdana" w:hAnsi="Verdana" w:cs="Times New Roman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Business description:</w:t>
      </w:r>
    </w:p>
    <w:p w14:paraId="336948C6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  <w:proofErr w:type="spellStart"/>
      <w:r>
        <w:rPr>
          <w:rFonts w:ascii="Verdana" w:hAnsi="Verdana"/>
          <w:sz w:val="32"/>
          <w:szCs w:val="32"/>
        </w:rPr>
        <w:t>Cboe</w:t>
      </w:r>
      <w:proofErr w:type="spellEnd"/>
      <w:r>
        <w:rPr>
          <w:rFonts w:ascii="Verdana" w:hAnsi="Verdana"/>
          <w:sz w:val="32"/>
          <w:szCs w:val="32"/>
        </w:rPr>
        <w:t xml:space="preserve"> Global Markets Inc operates the Chicago Board Options Exchange, still, the largest U.S. options exchange by total volume. This marketplace offers trading in options on stocks, market indexes and exchange-traded funds and notes. The company also runs a fast-</w:t>
      </w:r>
      <w:r>
        <w:rPr>
          <w:rFonts w:ascii="Verdana" w:hAnsi="Verdana"/>
          <w:sz w:val="28"/>
          <w:szCs w:val="28"/>
        </w:rPr>
        <w:t>growing futures exchange, CFE, and an electronic options market, C2. After operating for most as a not-for-profit, member owned exchange company, the company became a for-profit corporation in 2006 and went public in 2010.</w:t>
      </w:r>
    </w:p>
    <w:p w14:paraId="69199FD4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1715884C" w14:textId="77777777" w:rsidR="00744E72" w:rsidRDefault="00744E72" w:rsidP="00744E7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Calibri"/>
          <w:b/>
          <w:bCs/>
          <w:sz w:val="28"/>
          <w:szCs w:val="28"/>
        </w:rPr>
        <w:t>Exchange Industry outlook: The</w:t>
      </w:r>
      <w:r>
        <w:rPr>
          <w:rFonts w:ascii="Verdana" w:hAnsi="Verdana" w:cs="Calibri"/>
          <w:sz w:val="28"/>
          <w:szCs w:val="28"/>
        </w:rPr>
        <w:t xml:space="preserve"> industry has </w:t>
      </w:r>
      <w:proofErr w:type="gramStart"/>
      <w:r>
        <w:rPr>
          <w:rFonts w:ascii="Verdana" w:hAnsi="Verdana" w:cs="Calibri"/>
          <w:sz w:val="28"/>
          <w:szCs w:val="28"/>
        </w:rPr>
        <w:t>been tossed</w:t>
      </w:r>
      <w:proofErr w:type="gramEnd"/>
      <w:r>
        <w:rPr>
          <w:rFonts w:ascii="Verdana" w:hAnsi="Verdana" w:cs="Calibri"/>
          <w:sz w:val="28"/>
          <w:szCs w:val="28"/>
        </w:rPr>
        <w:t xml:space="preserve"> around in the recent turbulent economy, the</w:t>
      </w:r>
      <w:r>
        <w:t xml:space="preserve"> </w:t>
      </w:r>
      <w:r>
        <w:rPr>
          <w:rFonts w:ascii="Verdana" w:hAnsi="Verdana"/>
          <w:sz w:val="28"/>
          <w:szCs w:val="28"/>
        </w:rPr>
        <w:t>popular tactic has been to ramp up technological investments and strengthen their product pipelines to better serve their client base. Meanwhile, a couple have increased marketing and advertising efforts to bolster their brand equity.</w:t>
      </w:r>
    </w:p>
    <w:p w14:paraId="3257216A" w14:textId="77777777" w:rsidR="005108AF" w:rsidRDefault="005108AF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035C42BD" w14:textId="77777777" w:rsidR="00744E72" w:rsidRDefault="00744E72" w:rsidP="00744E72">
      <w:pPr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  <w:proofErr w:type="gramStart"/>
      <w:r>
        <w:rPr>
          <w:rFonts w:ascii="Verdana" w:hAnsi="Verdana"/>
          <w:b/>
          <w:bCs/>
          <w:sz w:val="28"/>
          <w:szCs w:val="28"/>
        </w:rPr>
        <w:t>CBOE:-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Research report are attached in BIVIO.</w:t>
      </w:r>
    </w:p>
    <w:p w14:paraId="0578F4E7" w14:textId="77777777" w:rsidR="00744E72" w:rsidRDefault="00744E72" w:rsidP="00744E72">
      <w:pPr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14:paraId="0C57E3CA" w14:textId="0E372A49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Recommend:</w:t>
      </w:r>
      <w:r>
        <w:rPr>
          <w:rFonts w:ascii="Verdana" w:hAnsi="Verdana" w:cs="Calibri"/>
          <w:sz w:val="28"/>
          <w:szCs w:val="28"/>
        </w:rPr>
        <w:t xml:space="preserve"> HOLD. </w:t>
      </w:r>
    </w:p>
    <w:p w14:paraId="22CA73C2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4BC795DE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42CD4EEC" w14:textId="77777777" w:rsidR="00744E72" w:rsidRDefault="00744E72" w:rsidP="00744E72">
      <w:pPr>
        <w:spacing w:after="0" w:line="240" w:lineRule="auto"/>
        <w:rPr>
          <w:rFonts w:ascii="Verdana" w:hAnsi="Verdana" w:cs="Calibri"/>
          <w:sz w:val="28"/>
          <w:szCs w:val="28"/>
        </w:rPr>
      </w:pPr>
    </w:p>
    <w:p w14:paraId="4FFD4461" w14:textId="77777777" w:rsidR="00744E72" w:rsidRDefault="00744E72"/>
    <w:sectPr w:rsidR="00744E72" w:rsidSect="003065FF">
      <w:pgSz w:w="12240" w:h="15840" w:code="1"/>
      <w:pgMar w:top="1008" w:right="1152" w:bottom="1008" w:left="1152" w:header="54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93567"/>
    <w:multiLevelType w:val="multilevel"/>
    <w:tmpl w:val="D91E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6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2"/>
    <w:rsid w:val="001B0F30"/>
    <w:rsid w:val="003065FF"/>
    <w:rsid w:val="003879FC"/>
    <w:rsid w:val="005108AF"/>
    <w:rsid w:val="007163C0"/>
    <w:rsid w:val="00744E72"/>
    <w:rsid w:val="00810722"/>
    <w:rsid w:val="008337D6"/>
    <w:rsid w:val="00977ECB"/>
    <w:rsid w:val="00C03AAC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3307"/>
  <w15:chartTrackingRefBased/>
  <w15:docId w15:val="{01D2DAED-5408-4618-A7F1-B2F7D165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Maskey Krishnarao</dc:creator>
  <cp:keywords/>
  <dc:description/>
  <cp:lastModifiedBy>Maskey Krishnarao</cp:lastModifiedBy>
  <cp:revision>7</cp:revision>
  <dcterms:created xsi:type="dcterms:W3CDTF">2022-11-04T18:44:00Z</dcterms:created>
  <dcterms:modified xsi:type="dcterms:W3CDTF">2022-11-30T19:08:00Z</dcterms:modified>
</cp:coreProperties>
</file>